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FCB1" w14:textId="7D953922" w:rsidR="00B060F6" w:rsidRPr="00B060F6" w:rsidRDefault="00B060F6" w:rsidP="00B060F6">
      <w:pPr>
        <w:ind w:left="0"/>
        <w:outlineLvl w:val="2"/>
        <w:rPr>
          <w:rFonts w:asciiTheme="minorHAnsi" w:eastAsia="Times New Roman" w:hAnsiTheme="minorHAnsi"/>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 xml:space="preserve">Position Title/Rank: </w:t>
      </w:r>
      <w:r w:rsidRPr="00B060F6">
        <w:rPr>
          <w:rFonts w:asciiTheme="minorHAnsi" w:eastAsia="Times New Roman" w:hAnsiTheme="minorHAnsi"/>
          <w:kern w:val="0"/>
          <w:sz w:val="21"/>
          <w:szCs w:val="21"/>
          <w:lang w:eastAsia="en-CA"/>
          <w14:ligatures w14:val="none"/>
        </w:rPr>
        <w:t>Assistant Professor in Molecular and Cellular Biology (Teaching Focus)</w:t>
      </w:r>
    </w:p>
    <w:p w14:paraId="5796D07D" w14:textId="77777777" w:rsidR="00B060F6" w:rsidRPr="00B060F6" w:rsidRDefault="00B060F6" w:rsidP="00B060F6">
      <w:pPr>
        <w:ind w:left="0"/>
        <w:outlineLvl w:val="3"/>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 xml:space="preserve">College: </w:t>
      </w:r>
      <w:r w:rsidRPr="00B060F6">
        <w:rPr>
          <w:rFonts w:asciiTheme="minorHAnsi" w:eastAsia="Times New Roman" w:hAnsiTheme="minorHAnsi"/>
          <w:kern w:val="0"/>
          <w:sz w:val="21"/>
          <w:szCs w:val="21"/>
          <w:lang w:eastAsia="en-CA"/>
          <w14:ligatures w14:val="none"/>
        </w:rPr>
        <w:t>College of Biological Science</w:t>
      </w:r>
    </w:p>
    <w:p w14:paraId="4FC94278" w14:textId="77777777" w:rsidR="00B060F6" w:rsidRPr="00B060F6" w:rsidRDefault="00B060F6" w:rsidP="00B060F6">
      <w:pPr>
        <w:ind w:left="0"/>
        <w:outlineLvl w:val="3"/>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 xml:space="preserve">Department: </w:t>
      </w:r>
      <w:r w:rsidRPr="00B060F6">
        <w:rPr>
          <w:rFonts w:asciiTheme="minorHAnsi" w:eastAsia="Times New Roman" w:hAnsiTheme="minorHAnsi"/>
          <w:kern w:val="0"/>
          <w:sz w:val="21"/>
          <w:szCs w:val="21"/>
          <w:lang w:eastAsia="en-CA"/>
          <w14:ligatures w14:val="none"/>
        </w:rPr>
        <w:t>Molecular and Cellular Biology</w:t>
      </w:r>
    </w:p>
    <w:p w14:paraId="7707E77B" w14:textId="77777777" w:rsidR="00B060F6" w:rsidRPr="00B060F6" w:rsidRDefault="00B060F6" w:rsidP="00B060F6">
      <w:pPr>
        <w:ind w:left="0"/>
        <w:outlineLvl w:val="4"/>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 xml:space="preserve">Date Posted: </w:t>
      </w:r>
      <w:r w:rsidRPr="00B060F6">
        <w:rPr>
          <w:rFonts w:asciiTheme="minorHAnsi" w:eastAsia="Times New Roman" w:hAnsiTheme="minorHAnsi"/>
          <w:kern w:val="0"/>
          <w:sz w:val="21"/>
          <w:szCs w:val="21"/>
          <w:lang w:eastAsia="en-CA"/>
          <w14:ligatures w14:val="none"/>
        </w:rPr>
        <w:t>October 27, 2023</w:t>
      </w:r>
    </w:p>
    <w:p w14:paraId="05485D7D" w14:textId="77777777" w:rsidR="00B060F6" w:rsidRPr="00B060F6" w:rsidRDefault="00B060F6" w:rsidP="00B060F6">
      <w:pPr>
        <w:ind w:left="0"/>
        <w:outlineLvl w:val="4"/>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 xml:space="preserve">Deadline: </w:t>
      </w:r>
      <w:r w:rsidRPr="00B060F6">
        <w:rPr>
          <w:rFonts w:asciiTheme="minorHAnsi" w:eastAsia="Times New Roman" w:hAnsiTheme="minorHAnsi"/>
          <w:kern w:val="0"/>
          <w:sz w:val="21"/>
          <w:szCs w:val="21"/>
          <w:lang w:eastAsia="en-CA"/>
          <w14:ligatures w14:val="none"/>
        </w:rPr>
        <w:t>January 4, 2024</w:t>
      </w:r>
    </w:p>
    <w:p w14:paraId="44372501" w14:textId="77777777" w:rsidR="00B060F6" w:rsidRPr="00B060F6" w:rsidRDefault="00B060F6" w:rsidP="00B060F6">
      <w:pPr>
        <w:ind w:left="0"/>
        <w:outlineLvl w:val="4"/>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Please reference AD #23-59</w:t>
      </w:r>
    </w:p>
    <w:p w14:paraId="36DADDF4" w14:textId="77777777" w:rsidR="00B060F6" w:rsidRDefault="00B060F6" w:rsidP="00B060F6">
      <w:pPr>
        <w:ind w:left="0"/>
        <w:outlineLvl w:val="1"/>
        <w:rPr>
          <w:rFonts w:asciiTheme="minorHAnsi" w:eastAsia="Times New Roman" w:hAnsiTheme="minorHAnsi"/>
          <w:b/>
          <w:bCs/>
          <w:kern w:val="0"/>
          <w:sz w:val="21"/>
          <w:szCs w:val="21"/>
          <w:lang w:eastAsia="en-CA"/>
          <w14:ligatures w14:val="none"/>
        </w:rPr>
      </w:pPr>
      <w:hyperlink r:id="rId5" w:history="1">
        <w:r w:rsidRPr="00752E03">
          <w:rPr>
            <w:rStyle w:val="Hyperlink"/>
            <w:rFonts w:asciiTheme="minorHAnsi" w:hAnsiTheme="minorHAnsi"/>
          </w:rPr>
          <w:t>https://www.uoguelph.ca/facultyjobs/postings/ad23-59.shtml</w:t>
        </w:r>
      </w:hyperlink>
    </w:p>
    <w:p w14:paraId="37C0A2B6" w14:textId="77777777" w:rsidR="00B060F6" w:rsidRPr="00B060F6" w:rsidRDefault="00B060F6" w:rsidP="00B060F6">
      <w:pPr>
        <w:ind w:left="0"/>
        <w:outlineLvl w:val="2"/>
        <w:rPr>
          <w:rFonts w:asciiTheme="minorHAnsi" w:eastAsia="Times New Roman" w:hAnsiTheme="minorHAnsi"/>
          <w:b/>
          <w:bCs/>
          <w:kern w:val="0"/>
          <w:sz w:val="21"/>
          <w:szCs w:val="21"/>
          <w:lang w:eastAsia="en-CA"/>
          <w14:ligatures w14:val="none"/>
        </w:rPr>
      </w:pPr>
    </w:p>
    <w:p w14:paraId="129371BB" w14:textId="55A50BC0" w:rsidR="00B060F6" w:rsidRPr="00B060F6" w:rsidRDefault="00B060F6" w:rsidP="00B060F6">
      <w:pPr>
        <w:ind w:left="0"/>
        <w:outlineLvl w:val="2"/>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Position Description:</w:t>
      </w:r>
    </w:p>
    <w:p w14:paraId="3D7EC8A8" w14:textId="77777777"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The Department of Molecular and Cellular Biology (MCB) at the University of Guelph invites applications for a tenure-track, teaching-focused position at the Assistant Professor level in the areas of Molecular and Cellular Biology.</w:t>
      </w:r>
    </w:p>
    <w:p w14:paraId="47F04C6B" w14:textId="77777777" w:rsidR="00B060F6" w:rsidRPr="00B060F6" w:rsidRDefault="00B060F6" w:rsidP="00B060F6">
      <w:pPr>
        <w:ind w:left="0"/>
        <w:rPr>
          <w:rFonts w:asciiTheme="minorHAnsi" w:eastAsia="Times New Roman" w:hAnsiTheme="minorHAnsi"/>
          <w:kern w:val="0"/>
          <w:sz w:val="21"/>
          <w:szCs w:val="21"/>
          <w:lang w:eastAsia="en-CA"/>
          <w14:ligatures w14:val="none"/>
        </w:rPr>
      </w:pPr>
    </w:p>
    <w:p w14:paraId="43E4B7F0" w14:textId="77777777"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This position has a teaching-focused distribution of effort (minimum 5 courses/year). The successful candidate will have a Ph.D. in an area consistent with the fields of genetics, molecular biology, cell biology, biochemistry, microbiology, and neuroscience and a demonstrated ability to effectively teach undergraduate and graduate courses in molecular life science-related fields. The successful applicant will also demonstrate a commitment to the scholarship and research mission of the Department by employing scholarly approaches and innovative methodologies in fields relevant to MCB. This includes but is not necessarily limited to, teaching and learning, knowledge translation and transfer, curricular development, methods of delivery and assessment, etc.</w:t>
      </w:r>
    </w:p>
    <w:p w14:paraId="5752CE45" w14:textId="77777777" w:rsidR="00B060F6" w:rsidRPr="00B060F6" w:rsidRDefault="00B060F6" w:rsidP="00B060F6">
      <w:pPr>
        <w:ind w:left="0"/>
        <w:rPr>
          <w:rFonts w:asciiTheme="minorHAnsi" w:eastAsia="Times New Roman" w:hAnsiTheme="minorHAnsi"/>
          <w:kern w:val="0"/>
          <w:sz w:val="21"/>
          <w:szCs w:val="21"/>
          <w:lang w:eastAsia="en-CA"/>
          <w14:ligatures w14:val="none"/>
        </w:rPr>
      </w:pPr>
    </w:p>
    <w:p w14:paraId="38714309" w14:textId="77777777"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The successful candidate will join a dynamic, multidisciplinary, research-intensive department with 40 faculty members who study diverse biological systems at levels from molecules to cells that include Biochemistry, Microbiology, Molecular Biology and Genetics, and Neuroscience and contribute to programs in Biological Science, Biomedical Science, and Plant Science. Graduate teaching activities are focused on M.Sc. and Ph.D. degrees in Molecular and Cellular Biology, and faculty members also participate in cross-department programs such as Biophysics, Bioinformatics, Neuroscience, Plant Science, and Toxicology.</w:t>
      </w:r>
    </w:p>
    <w:p w14:paraId="48657D7D" w14:textId="77777777" w:rsidR="00B060F6" w:rsidRPr="00B060F6" w:rsidRDefault="00B060F6" w:rsidP="00B060F6">
      <w:pPr>
        <w:ind w:left="0"/>
        <w:rPr>
          <w:rFonts w:asciiTheme="minorHAnsi" w:eastAsia="Times New Roman" w:hAnsiTheme="minorHAnsi"/>
          <w:b/>
          <w:bCs/>
          <w:kern w:val="0"/>
          <w:sz w:val="21"/>
          <w:szCs w:val="21"/>
          <w:lang w:eastAsia="en-CA"/>
          <w14:ligatures w14:val="none"/>
        </w:rPr>
      </w:pPr>
    </w:p>
    <w:p w14:paraId="6C2589BB" w14:textId="1EC00AA7"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Qualifications:</w:t>
      </w:r>
    </w:p>
    <w:p w14:paraId="7721C67D" w14:textId="77777777" w:rsidR="00B060F6" w:rsidRPr="00B060F6" w:rsidRDefault="00B060F6" w:rsidP="00B060F6">
      <w:pPr>
        <w:numPr>
          <w:ilvl w:val="0"/>
          <w:numId w:val="1"/>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PhD. in an area consistent with the fields of genetics, molecular biology, cell biology, biochemistry, microbiology, or neuroscience.</w:t>
      </w:r>
    </w:p>
    <w:p w14:paraId="65C8977A" w14:textId="77777777" w:rsidR="00B060F6" w:rsidRPr="00B060F6" w:rsidRDefault="00B060F6" w:rsidP="00B060F6">
      <w:pPr>
        <w:numPr>
          <w:ilvl w:val="0"/>
          <w:numId w:val="1"/>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University teaching, training and/or post-doctoral experience.</w:t>
      </w:r>
    </w:p>
    <w:p w14:paraId="2B724845" w14:textId="77777777" w:rsidR="00B060F6" w:rsidRPr="00B060F6" w:rsidRDefault="00B060F6" w:rsidP="00B060F6">
      <w:pPr>
        <w:ind w:left="0"/>
        <w:rPr>
          <w:rFonts w:asciiTheme="minorHAnsi" w:eastAsia="Times New Roman" w:hAnsiTheme="minorHAnsi"/>
          <w:b/>
          <w:bCs/>
          <w:kern w:val="0"/>
          <w:sz w:val="12"/>
          <w:szCs w:val="12"/>
          <w:lang w:eastAsia="en-CA"/>
          <w14:ligatures w14:val="none"/>
        </w:rPr>
      </w:pPr>
    </w:p>
    <w:p w14:paraId="5B681D14" w14:textId="788BEF8F"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Distribution of Effort:</w:t>
      </w:r>
    </w:p>
    <w:p w14:paraId="44306879" w14:textId="77777777" w:rsidR="00B060F6" w:rsidRPr="00B060F6" w:rsidRDefault="00B060F6" w:rsidP="00B060F6">
      <w:pPr>
        <w:numPr>
          <w:ilvl w:val="0"/>
          <w:numId w:val="2"/>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70% teaching</w:t>
      </w:r>
    </w:p>
    <w:p w14:paraId="1024CC7E" w14:textId="77777777" w:rsidR="00B060F6" w:rsidRPr="00B060F6" w:rsidRDefault="00B060F6" w:rsidP="00B060F6">
      <w:pPr>
        <w:numPr>
          <w:ilvl w:val="0"/>
          <w:numId w:val="2"/>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10% scholarly activity</w:t>
      </w:r>
    </w:p>
    <w:p w14:paraId="6EC5ABC7" w14:textId="77777777" w:rsidR="00B060F6" w:rsidRPr="00B060F6" w:rsidRDefault="00B060F6" w:rsidP="00B060F6">
      <w:pPr>
        <w:numPr>
          <w:ilvl w:val="0"/>
          <w:numId w:val="2"/>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20% service</w:t>
      </w:r>
    </w:p>
    <w:p w14:paraId="17E38ADA" w14:textId="77777777" w:rsidR="00B060F6" w:rsidRPr="00B060F6" w:rsidRDefault="00B060F6" w:rsidP="00B060F6">
      <w:pPr>
        <w:ind w:left="0"/>
        <w:rPr>
          <w:rFonts w:asciiTheme="minorHAnsi" w:eastAsia="Times New Roman" w:hAnsiTheme="minorHAnsi"/>
          <w:b/>
          <w:bCs/>
          <w:kern w:val="0"/>
          <w:sz w:val="12"/>
          <w:szCs w:val="12"/>
          <w:lang w:eastAsia="en-CA"/>
          <w14:ligatures w14:val="none"/>
        </w:rPr>
      </w:pPr>
    </w:p>
    <w:p w14:paraId="305BDF5D" w14:textId="5A4B5AB4"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Teaching:</w:t>
      </w:r>
    </w:p>
    <w:p w14:paraId="4F94C62E" w14:textId="77777777" w:rsidR="00B060F6" w:rsidRPr="00B060F6" w:rsidRDefault="00B060F6" w:rsidP="00B060F6">
      <w:pPr>
        <w:numPr>
          <w:ilvl w:val="0"/>
          <w:numId w:val="3"/>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Demonstrable commitment to effective and innovative teaching at the undergraduate level.</w:t>
      </w:r>
    </w:p>
    <w:p w14:paraId="1983B2EC" w14:textId="77777777" w:rsidR="00B060F6" w:rsidRPr="00B060F6" w:rsidRDefault="00B060F6" w:rsidP="00B060F6">
      <w:pPr>
        <w:numPr>
          <w:ilvl w:val="0"/>
          <w:numId w:val="3"/>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Able to teach undergraduate and graduate courses in the Department of Molecular and Cellular Biology (MCB) and, more broadly, in the College of Biological Science.</w:t>
      </w:r>
    </w:p>
    <w:p w14:paraId="6C73C3E6" w14:textId="77777777" w:rsidR="00B060F6" w:rsidRPr="00B060F6" w:rsidRDefault="00B060F6" w:rsidP="00B060F6">
      <w:pPr>
        <w:numPr>
          <w:ilvl w:val="0"/>
          <w:numId w:val="3"/>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Potential development and/or revision of courses in collaboration with other faculty and staff. </w:t>
      </w:r>
    </w:p>
    <w:p w14:paraId="302F494A" w14:textId="77777777" w:rsidR="00B060F6" w:rsidRPr="00B060F6" w:rsidRDefault="00B060F6" w:rsidP="00B060F6">
      <w:pPr>
        <w:numPr>
          <w:ilvl w:val="0"/>
          <w:numId w:val="3"/>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Experience in curricular design, review and revision.</w:t>
      </w:r>
    </w:p>
    <w:p w14:paraId="6D7ABCFF" w14:textId="77777777" w:rsidR="00B060F6" w:rsidRPr="00B060F6" w:rsidRDefault="00B060F6" w:rsidP="00B060F6">
      <w:pPr>
        <w:ind w:left="0"/>
        <w:rPr>
          <w:rFonts w:asciiTheme="minorHAnsi" w:eastAsia="Times New Roman" w:hAnsiTheme="minorHAnsi"/>
          <w:b/>
          <w:bCs/>
          <w:kern w:val="0"/>
          <w:sz w:val="12"/>
          <w:szCs w:val="12"/>
          <w:lang w:eastAsia="en-CA"/>
          <w14:ligatures w14:val="none"/>
        </w:rPr>
      </w:pPr>
    </w:p>
    <w:p w14:paraId="211B63BE" w14:textId="0F529069"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Scholarship/Research:</w:t>
      </w:r>
    </w:p>
    <w:p w14:paraId="32CE2AEB" w14:textId="77777777" w:rsidR="00B060F6" w:rsidRPr="00B060F6" w:rsidRDefault="00B060F6" w:rsidP="00B060F6">
      <w:pPr>
        <w:numPr>
          <w:ilvl w:val="0"/>
          <w:numId w:val="4"/>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Evidence of strong potential to develop and contribute to scholarship and research in MCB.</w:t>
      </w:r>
    </w:p>
    <w:p w14:paraId="2A514A5F" w14:textId="77777777" w:rsidR="00B060F6" w:rsidRPr="00B060F6" w:rsidRDefault="00B060F6" w:rsidP="00B060F6">
      <w:pPr>
        <w:numPr>
          <w:ilvl w:val="0"/>
          <w:numId w:val="4"/>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Employ any number of scholarly approaches and innovative methodologies in fields relevant to MCB, which may include, but are not necessarily limited to, teaching and learning, knowledge translation and transfer, curricular development, methods of delivery and assessment, etc.</w:t>
      </w:r>
    </w:p>
    <w:p w14:paraId="69ADE99D" w14:textId="77777777" w:rsidR="00B060F6" w:rsidRPr="00B060F6" w:rsidRDefault="00B060F6" w:rsidP="00B060F6">
      <w:pPr>
        <w:ind w:left="0"/>
        <w:rPr>
          <w:rFonts w:asciiTheme="minorHAnsi" w:eastAsia="Times New Roman" w:hAnsiTheme="minorHAnsi"/>
          <w:b/>
          <w:bCs/>
          <w:kern w:val="0"/>
          <w:sz w:val="12"/>
          <w:szCs w:val="12"/>
          <w:lang w:eastAsia="en-CA"/>
          <w14:ligatures w14:val="none"/>
        </w:rPr>
      </w:pPr>
    </w:p>
    <w:p w14:paraId="0B9EDF8E" w14:textId="18B16CF6"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EDI and Collegiality:</w:t>
      </w:r>
    </w:p>
    <w:p w14:paraId="68F2F12C" w14:textId="77777777" w:rsidR="00B060F6" w:rsidRPr="00B060F6" w:rsidRDefault="00B060F6" w:rsidP="00B060F6">
      <w:pPr>
        <w:numPr>
          <w:ilvl w:val="0"/>
          <w:numId w:val="5"/>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Commitment to a departmental culture that is positive, collegial, and respectful of all members and in which wellness and healthy work-life balance are valued.</w:t>
      </w:r>
    </w:p>
    <w:p w14:paraId="164CB07C" w14:textId="77777777" w:rsidR="00B060F6" w:rsidRPr="00B060F6" w:rsidRDefault="00B060F6" w:rsidP="00B060F6">
      <w:pPr>
        <w:ind w:left="0"/>
        <w:rPr>
          <w:rFonts w:asciiTheme="minorHAnsi" w:eastAsia="Times New Roman" w:hAnsiTheme="minorHAnsi"/>
          <w:kern w:val="0"/>
          <w:sz w:val="21"/>
          <w:szCs w:val="21"/>
          <w:lang w:eastAsia="en-CA"/>
          <w14:ligatures w14:val="none"/>
        </w:rPr>
      </w:pPr>
    </w:p>
    <w:p w14:paraId="4B1B13BA" w14:textId="4FE81A7B"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The University of Guelph is the third largest employer in Guelph, a city of approximately 130,000 people, located about an hour drive west of Toronto, Ontario. University of Guelph is a top-ranked comprehensive university in Canada with an enrolment of over 30,000 undergraduate and graduate students across over 40 academic units. The University is known for its commitment to student learning, innovative research, and collaboration with world-class partners. It is a unique place, with transformative research and teaching and a distinctive campus </w:t>
      </w:r>
      <w:r w:rsidRPr="00B060F6">
        <w:rPr>
          <w:rFonts w:asciiTheme="minorHAnsi" w:eastAsia="Times New Roman" w:hAnsiTheme="minorHAnsi"/>
          <w:kern w:val="0"/>
          <w:sz w:val="21"/>
          <w:szCs w:val="21"/>
          <w:lang w:eastAsia="en-CA"/>
          <w14:ligatures w14:val="none"/>
        </w:rPr>
        <w:lastRenderedPageBreak/>
        <w:t>culture. People who learn and work here are shaped and inspired by a shared purpose: To Improve Life. Reflecting that shared purpose in every experience connected to our university positions us to create positive change, here and around the world. Our university community shares a profound sense of social responsibility, a drive for international development, and an obligation to address global issues.</w:t>
      </w:r>
    </w:p>
    <w:p w14:paraId="0CE680BD" w14:textId="77777777" w:rsidR="00B060F6" w:rsidRPr="00B060F6" w:rsidRDefault="00B060F6" w:rsidP="00B060F6">
      <w:pPr>
        <w:ind w:left="0"/>
        <w:outlineLvl w:val="3"/>
        <w:rPr>
          <w:rFonts w:asciiTheme="minorHAnsi" w:eastAsia="Times New Roman" w:hAnsiTheme="minorHAnsi"/>
          <w:b/>
          <w:bCs/>
          <w:kern w:val="0"/>
          <w:sz w:val="21"/>
          <w:szCs w:val="21"/>
          <w:lang w:eastAsia="en-CA"/>
          <w14:ligatures w14:val="none"/>
        </w:rPr>
      </w:pPr>
    </w:p>
    <w:p w14:paraId="68D0B23D" w14:textId="01E5950D" w:rsidR="00B060F6" w:rsidRPr="00B060F6" w:rsidRDefault="00B060F6" w:rsidP="00B060F6">
      <w:pPr>
        <w:ind w:left="0"/>
        <w:outlineLvl w:val="3"/>
        <w:rPr>
          <w:rFonts w:asciiTheme="minorHAnsi" w:eastAsia="Times New Roman" w:hAnsiTheme="minorHAnsi"/>
          <w:b/>
          <w:bCs/>
          <w:kern w:val="0"/>
          <w:sz w:val="21"/>
          <w:szCs w:val="21"/>
          <w:lang w:eastAsia="en-CA"/>
          <w14:ligatures w14:val="none"/>
        </w:rPr>
      </w:pPr>
      <w:r w:rsidRPr="00B060F6">
        <w:rPr>
          <w:rFonts w:asciiTheme="minorHAnsi" w:eastAsia="Times New Roman" w:hAnsiTheme="minorHAnsi"/>
          <w:b/>
          <w:bCs/>
          <w:kern w:val="0"/>
          <w:sz w:val="21"/>
          <w:szCs w:val="21"/>
          <w:lang w:eastAsia="en-CA"/>
          <w14:ligatures w14:val="none"/>
        </w:rPr>
        <w:t>Application Process</w:t>
      </w:r>
      <w:r w:rsidRPr="00B060F6">
        <w:rPr>
          <w:rFonts w:asciiTheme="minorHAnsi" w:eastAsia="Times New Roman" w:hAnsiTheme="minorHAnsi"/>
          <w:b/>
          <w:bCs/>
          <w:kern w:val="0"/>
          <w:sz w:val="21"/>
          <w:szCs w:val="21"/>
          <w:lang w:eastAsia="en-CA"/>
          <w14:ligatures w14:val="none"/>
        </w:rPr>
        <w:t>:</w:t>
      </w:r>
    </w:p>
    <w:p w14:paraId="2952CF0A" w14:textId="77777777" w:rsid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Assessment of applications will begin on </w:t>
      </w:r>
      <w:r w:rsidRPr="00B060F6">
        <w:rPr>
          <w:rFonts w:asciiTheme="minorHAnsi" w:eastAsia="Times New Roman" w:hAnsiTheme="minorHAnsi"/>
          <w:b/>
          <w:bCs/>
          <w:kern w:val="0"/>
          <w:sz w:val="21"/>
          <w:szCs w:val="21"/>
          <w:lang w:eastAsia="en-CA"/>
          <w14:ligatures w14:val="none"/>
        </w:rPr>
        <w:t>January 4, 2024</w:t>
      </w:r>
      <w:r w:rsidRPr="00B060F6">
        <w:rPr>
          <w:rFonts w:asciiTheme="minorHAnsi" w:eastAsia="Times New Roman" w:hAnsiTheme="minorHAnsi"/>
          <w:kern w:val="0"/>
          <w:sz w:val="21"/>
          <w:szCs w:val="21"/>
          <w:lang w:eastAsia="en-CA"/>
          <w14:ligatures w14:val="none"/>
        </w:rPr>
        <w:t xml:space="preserve"> and will continue until the position is filled. Interested candidates should submit the following materials as a single PDF file: </w:t>
      </w:r>
    </w:p>
    <w:p w14:paraId="3D026295" w14:textId="77777777" w:rsidR="00B060F6" w:rsidRPr="00B060F6" w:rsidRDefault="00B060F6" w:rsidP="00B060F6">
      <w:pPr>
        <w:ind w:left="0"/>
        <w:rPr>
          <w:rFonts w:asciiTheme="minorHAnsi" w:eastAsia="Times New Roman" w:hAnsiTheme="minorHAnsi"/>
          <w:kern w:val="0"/>
          <w:sz w:val="12"/>
          <w:szCs w:val="12"/>
          <w:lang w:eastAsia="en-CA"/>
          <w14:ligatures w14:val="none"/>
        </w:rPr>
      </w:pPr>
    </w:p>
    <w:p w14:paraId="68DD764A" w14:textId="77777777" w:rsidR="00B060F6" w:rsidRPr="00B060F6" w:rsidRDefault="00B060F6" w:rsidP="00B060F6">
      <w:pPr>
        <w:numPr>
          <w:ilvl w:val="0"/>
          <w:numId w:val="6"/>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Cover letter (1 page): </w:t>
      </w:r>
    </w:p>
    <w:p w14:paraId="130FF5EA" w14:textId="77777777" w:rsidR="00B060F6" w:rsidRPr="00B060F6" w:rsidRDefault="00B060F6" w:rsidP="00B060F6">
      <w:pPr>
        <w:numPr>
          <w:ilvl w:val="1"/>
          <w:numId w:val="6"/>
        </w:numPr>
        <w:tabs>
          <w:tab w:val="clear" w:pos="1440"/>
        </w:tabs>
        <w:spacing w:after="120"/>
        <w:ind w:left="1134" w:hanging="357"/>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your background and interest in the position.</w:t>
      </w:r>
    </w:p>
    <w:p w14:paraId="6659BD3D" w14:textId="77777777" w:rsidR="00B060F6" w:rsidRPr="00B060F6" w:rsidRDefault="00B060F6" w:rsidP="00B060F6">
      <w:pPr>
        <w:numPr>
          <w:ilvl w:val="0"/>
          <w:numId w:val="6"/>
        </w:numPr>
        <w:spacing w:after="120"/>
        <w:ind w:left="714" w:hanging="357"/>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A Curriculum vitae.</w:t>
      </w:r>
    </w:p>
    <w:p w14:paraId="1BBDC5F2" w14:textId="77777777" w:rsidR="00B060F6" w:rsidRPr="00B060F6" w:rsidRDefault="00B060F6" w:rsidP="00B060F6">
      <w:pPr>
        <w:numPr>
          <w:ilvl w:val="0"/>
          <w:numId w:val="6"/>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Teaching statement (4 pages max): </w:t>
      </w:r>
    </w:p>
    <w:p w14:paraId="5A5FA742" w14:textId="77777777" w:rsidR="00B060F6" w:rsidRPr="00B060F6" w:rsidRDefault="00B060F6" w:rsidP="00B060F6">
      <w:pPr>
        <w:numPr>
          <w:ilvl w:val="1"/>
          <w:numId w:val="6"/>
        </w:numPr>
        <w:tabs>
          <w:tab w:val="clear" w:pos="1440"/>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an overall teaching philosophy.</w:t>
      </w:r>
    </w:p>
    <w:p w14:paraId="22A080B8" w14:textId="77777777" w:rsidR="00B060F6" w:rsidRPr="00B060F6" w:rsidRDefault="00B060F6" w:rsidP="00B060F6">
      <w:pPr>
        <w:numPr>
          <w:ilvl w:val="1"/>
          <w:numId w:val="6"/>
        </w:numPr>
        <w:tabs>
          <w:tab w:val="clear" w:pos="1440"/>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all previous formal and informal education training and experience.</w:t>
      </w:r>
    </w:p>
    <w:p w14:paraId="0276E259" w14:textId="77777777" w:rsidR="00B060F6" w:rsidRPr="00B060F6" w:rsidRDefault="00B060F6" w:rsidP="00B060F6">
      <w:pPr>
        <w:numPr>
          <w:ilvl w:val="1"/>
          <w:numId w:val="6"/>
        </w:numPr>
        <w:tabs>
          <w:tab w:val="clear" w:pos="1440"/>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Provide examples of effective teaching strategies in previous courses and/or plan to use in future courses.</w:t>
      </w:r>
    </w:p>
    <w:p w14:paraId="25D61918" w14:textId="77777777" w:rsidR="00B060F6" w:rsidRPr="00B060F6" w:rsidRDefault="00B060F6" w:rsidP="00B060F6">
      <w:pPr>
        <w:numPr>
          <w:ilvl w:val="1"/>
          <w:numId w:val="6"/>
        </w:numPr>
        <w:tabs>
          <w:tab w:val="clear" w:pos="1440"/>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any experiences with experiential/work-integrated learning.</w:t>
      </w:r>
    </w:p>
    <w:p w14:paraId="218D805F" w14:textId="77777777" w:rsidR="00B060F6" w:rsidRPr="00B060F6" w:rsidRDefault="00B060F6" w:rsidP="00B060F6">
      <w:pPr>
        <w:numPr>
          <w:ilvl w:val="1"/>
          <w:numId w:val="6"/>
        </w:numPr>
        <w:tabs>
          <w:tab w:val="clear" w:pos="1440"/>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potential teaching contributions to the department.</w:t>
      </w:r>
    </w:p>
    <w:p w14:paraId="4C826E0A" w14:textId="77777777" w:rsidR="00B060F6" w:rsidRPr="00B060F6" w:rsidRDefault="00B060F6" w:rsidP="00B060F6">
      <w:pPr>
        <w:numPr>
          <w:ilvl w:val="1"/>
          <w:numId w:val="6"/>
        </w:numPr>
        <w:tabs>
          <w:tab w:val="clear" w:pos="1440"/>
        </w:tabs>
        <w:spacing w:after="120"/>
        <w:ind w:left="1134" w:hanging="357"/>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any experience and strategies for course and curriculum design, review and revision.</w:t>
      </w:r>
    </w:p>
    <w:p w14:paraId="42C451F2" w14:textId="77777777" w:rsidR="00B060F6" w:rsidRPr="00B060F6" w:rsidRDefault="00B060F6" w:rsidP="00B060F6">
      <w:pPr>
        <w:numPr>
          <w:ilvl w:val="0"/>
          <w:numId w:val="6"/>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Scholarship/research statement (1 page max): </w:t>
      </w:r>
    </w:p>
    <w:p w14:paraId="0088825E" w14:textId="77777777" w:rsidR="00B060F6" w:rsidRPr="00B060F6" w:rsidRDefault="00B060F6" w:rsidP="00B060F6">
      <w:pPr>
        <w:numPr>
          <w:ilvl w:val="1"/>
          <w:numId w:val="6"/>
        </w:numPr>
        <w:tabs>
          <w:tab w:val="clear" w:pos="1440"/>
          <w:tab w:val="num" w:pos="1134"/>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Present a vision of the short and long-term goals of the scholarship/research activities.</w:t>
      </w:r>
    </w:p>
    <w:p w14:paraId="0FFDEE46" w14:textId="77777777" w:rsidR="00B060F6" w:rsidRPr="00B060F6" w:rsidRDefault="00B060F6" w:rsidP="00B060F6">
      <w:pPr>
        <w:numPr>
          <w:ilvl w:val="1"/>
          <w:numId w:val="6"/>
        </w:numPr>
        <w:tabs>
          <w:tab w:val="clear" w:pos="1440"/>
          <w:tab w:val="num" w:pos="1134"/>
        </w:tabs>
        <w:spacing w:after="120"/>
        <w:ind w:left="1134" w:hanging="357"/>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Explain how the scholarship/research activity plan will promote interdisciplinarity and collaboration within the Department.</w:t>
      </w:r>
    </w:p>
    <w:p w14:paraId="1BAAA7A9" w14:textId="77777777" w:rsidR="00B060F6" w:rsidRPr="00B060F6" w:rsidRDefault="00B060F6" w:rsidP="00B060F6">
      <w:pPr>
        <w:numPr>
          <w:ilvl w:val="0"/>
          <w:numId w:val="6"/>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 xml:space="preserve">Diversity statement (1 page max): </w:t>
      </w:r>
    </w:p>
    <w:p w14:paraId="7CEEAE28" w14:textId="77777777" w:rsidR="00B060F6" w:rsidRPr="00B060F6" w:rsidRDefault="00B060F6" w:rsidP="00B060F6">
      <w:pPr>
        <w:numPr>
          <w:ilvl w:val="1"/>
          <w:numId w:val="6"/>
        </w:numPr>
        <w:tabs>
          <w:tab w:val="clear" w:pos="1440"/>
        </w:tabs>
        <w:ind w:left="1134"/>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the history of advocacy and/or commitment to equity, diversity and inclusion in teaching, scholarship/research and mentorship.</w:t>
      </w:r>
    </w:p>
    <w:p w14:paraId="6B9C4015" w14:textId="77777777" w:rsidR="00B060F6" w:rsidRPr="00B060F6" w:rsidRDefault="00B060F6" w:rsidP="00B060F6">
      <w:pPr>
        <w:numPr>
          <w:ilvl w:val="1"/>
          <w:numId w:val="6"/>
        </w:numPr>
        <w:tabs>
          <w:tab w:val="clear" w:pos="1440"/>
        </w:tabs>
        <w:spacing w:after="120"/>
        <w:ind w:left="1134" w:hanging="357"/>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Describe strategies to ensure the applicant’s scholarship/research, teaching, and mentorship activities will provide equitable opportunities for students from diverse equity-seeking groups and foster a welcoming and inclusive environment in their courses.</w:t>
      </w:r>
    </w:p>
    <w:p w14:paraId="64535E7D" w14:textId="77777777" w:rsidR="00B060F6" w:rsidRPr="00B060F6" w:rsidRDefault="00B060F6" w:rsidP="00B060F6">
      <w:pPr>
        <w:numPr>
          <w:ilvl w:val="0"/>
          <w:numId w:val="6"/>
        </w:numPr>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Contact information for three references.</w:t>
      </w:r>
    </w:p>
    <w:p w14:paraId="5EF3DF48" w14:textId="77777777" w:rsidR="00B060F6" w:rsidRPr="00B060F6" w:rsidRDefault="00B060F6" w:rsidP="00B060F6">
      <w:pPr>
        <w:ind w:left="0"/>
        <w:rPr>
          <w:rFonts w:asciiTheme="minorHAnsi" w:eastAsia="Times New Roman" w:hAnsiTheme="minorHAnsi"/>
          <w:kern w:val="0"/>
          <w:sz w:val="21"/>
          <w:szCs w:val="21"/>
          <w:lang w:eastAsia="en-CA"/>
          <w14:ligatures w14:val="none"/>
        </w:rPr>
      </w:pPr>
    </w:p>
    <w:p w14:paraId="6D5CBACC" w14:textId="42DACCE9" w:rsidR="00B060F6" w:rsidRPr="00B060F6" w:rsidRDefault="00B060F6" w:rsidP="00B060F6">
      <w:pPr>
        <w:ind w:left="0"/>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Applications should be sent by email to the attention of:</w:t>
      </w:r>
    </w:p>
    <w:p w14:paraId="197718B3" w14:textId="77777777" w:rsidR="00B060F6" w:rsidRPr="00B060F6" w:rsidRDefault="00B060F6" w:rsidP="00B060F6">
      <w:pPr>
        <w:ind w:left="426"/>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Dr. Cezar Khursigara</w:t>
      </w:r>
      <w:r w:rsidRPr="00B060F6">
        <w:rPr>
          <w:rFonts w:asciiTheme="minorHAnsi" w:eastAsia="Times New Roman" w:hAnsiTheme="minorHAnsi"/>
          <w:kern w:val="0"/>
          <w:sz w:val="21"/>
          <w:szCs w:val="21"/>
          <w:lang w:eastAsia="en-CA"/>
          <w14:ligatures w14:val="none"/>
        </w:rPr>
        <w:br/>
        <w:t>Professor and Department Chair</w:t>
      </w:r>
      <w:r w:rsidRPr="00B060F6">
        <w:rPr>
          <w:rFonts w:asciiTheme="minorHAnsi" w:eastAsia="Times New Roman" w:hAnsiTheme="minorHAnsi"/>
          <w:kern w:val="0"/>
          <w:sz w:val="21"/>
          <w:szCs w:val="21"/>
          <w:lang w:eastAsia="en-CA"/>
          <w14:ligatures w14:val="none"/>
        </w:rPr>
        <w:br/>
        <w:t>Molecular and Cellular Biology</w:t>
      </w:r>
      <w:r w:rsidRPr="00B060F6">
        <w:rPr>
          <w:rFonts w:asciiTheme="minorHAnsi" w:eastAsia="Times New Roman" w:hAnsiTheme="minorHAnsi"/>
          <w:kern w:val="0"/>
          <w:sz w:val="21"/>
          <w:szCs w:val="21"/>
          <w:lang w:eastAsia="en-CA"/>
          <w14:ligatures w14:val="none"/>
        </w:rPr>
        <w:br/>
        <w:t>College of Biological Science</w:t>
      </w:r>
      <w:r w:rsidRPr="00B060F6">
        <w:rPr>
          <w:rFonts w:asciiTheme="minorHAnsi" w:eastAsia="Times New Roman" w:hAnsiTheme="minorHAnsi"/>
          <w:kern w:val="0"/>
          <w:sz w:val="21"/>
          <w:szCs w:val="21"/>
          <w:lang w:eastAsia="en-CA"/>
          <w14:ligatures w14:val="none"/>
        </w:rPr>
        <w:br/>
        <w:t xml:space="preserve">University of Guelph </w:t>
      </w:r>
      <w:r w:rsidRPr="00B060F6">
        <w:rPr>
          <w:rFonts w:asciiTheme="minorHAnsi" w:eastAsia="Times New Roman" w:hAnsiTheme="minorHAnsi"/>
          <w:kern w:val="0"/>
          <w:sz w:val="21"/>
          <w:szCs w:val="21"/>
          <w:lang w:eastAsia="en-CA"/>
          <w14:ligatures w14:val="none"/>
        </w:rPr>
        <w:br/>
        <w:t xml:space="preserve">Guelph, ON N1G 2W1 </w:t>
      </w:r>
    </w:p>
    <w:p w14:paraId="08FB56C9" w14:textId="77777777" w:rsidR="00B060F6" w:rsidRPr="00B060F6" w:rsidRDefault="00B060F6" w:rsidP="00B060F6">
      <w:pPr>
        <w:ind w:left="426"/>
        <w:rPr>
          <w:rFonts w:asciiTheme="minorHAnsi" w:eastAsia="Times New Roman" w:hAnsiTheme="minorHAnsi"/>
          <w:kern w:val="0"/>
          <w:sz w:val="21"/>
          <w:szCs w:val="21"/>
          <w:lang w:eastAsia="en-CA"/>
          <w14:ligatures w14:val="none"/>
        </w:rPr>
      </w:pPr>
      <w:r w:rsidRPr="00B060F6">
        <w:rPr>
          <w:rFonts w:asciiTheme="minorHAnsi" w:eastAsia="Times New Roman" w:hAnsiTheme="minorHAnsi"/>
          <w:kern w:val="0"/>
          <w:sz w:val="21"/>
          <w:szCs w:val="21"/>
          <w:lang w:eastAsia="en-CA"/>
          <w14:ligatures w14:val="none"/>
        </w:rPr>
        <w:t>Email:</w:t>
      </w:r>
      <w:hyperlink r:id="rId6" w:history="1">
        <w:r w:rsidRPr="00B060F6">
          <w:rPr>
            <w:rFonts w:asciiTheme="minorHAnsi" w:eastAsia="Times New Roman" w:hAnsiTheme="minorHAnsi"/>
            <w:color w:val="0000FF"/>
            <w:kern w:val="0"/>
            <w:sz w:val="21"/>
            <w:szCs w:val="21"/>
            <w:u w:val="single"/>
            <w:lang w:eastAsia="en-CA"/>
            <w14:ligatures w14:val="none"/>
          </w:rPr>
          <w:t>mcbchair@uoguelph.ca</w:t>
        </w:r>
      </w:hyperlink>
      <w:r w:rsidRPr="00B060F6">
        <w:rPr>
          <w:rFonts w:asciiTheme="minorHAnsi" w:eastAsia="Times New Roman" w:hAnsiTheme="minorHAnsi"/>
          <w:kern w:val="0"/>
          <w:sz w:val="21"/>
          <w:szCs w:val="21"/>
          <w:lang w:eastAsia="en-CA"/>
          <w14:ligatures w14:val="none"/>
        </w:rPr>
        <w:t xml:space="preserve">  </w:t>
      </w:r>
    </w:p>
    <w:p w14:paraId="16B07AA6" w14:textId="77777777" w:rsidR="00B060F6" w:rsidRPr="00B060F6" w:rsidRDefault="00B060F6" w:rsidP="00B060F6">
      <w:pPr>
        <w:ind w:left="0"/>
        <w:rPr>
          <w:rFonts w:asciiTheme="minorHAnsi" w:eastAsia="Times New Roman" w:hAnsiTheme="minorHAnsi"/>
          <w:kern w:val="0"/>
          <w:sz w:val="21"/>
          <w:szCs w:val="21"/>
          <w:lang w:eastAsia="en-CA"/>
          <w14:ligatures w14:val="none"/>
        </w:rPr>
      </w:pPr>
    </w:p>
    <w:p w14:paraId="2D3D02A3" w14:textId="2A298A6F" w:rsidR="00B060F6" w:rsidRPr="00B060F6" w:rsidRDefault="00B060F6" w:rsidP="00B060F6">
      <w:pPr>
        <w:ind w:left="0"/>
        <w:rPr>
          <w:rFonts w:asciiTheme="minorHAnsi" w:eastAsia="Times New Roman" w:hAnsiTheme="minorHAnsi"/>
          <w:kern w:val="0"/>
          <w:sz w:val="20"/>
          <w:szCs w:val="20"/>
          <w:lang w:eastAsia="en-CA"/>
          <w14:ligatures w14:val="none"/>
        </w:rPr>
      </w:pPr>
      <w:r w:rsidRPr="00B060F6">
        <w:rPr>
          <w:rFonts w:asciiTheme="minorHAnsi" w:eastAsia="Times New Roman" w:hAnsiTheme="minorHAnsi"/>
          <w:kern w:val="0"/>
          <w:sz w:val="20"/>
          <w:szCs w:val="20"/>
          <w:lang w:eastAsia="en-CA"/>
          <w14:ligatures w14:val="none"/>
        </w:rPr>
        <w:t>All qualified applicants are encouraged to apply; however, Canadians and permanent residents will be given priority.</w:t>
      </w:r>
    </w:p>
    <w:p w14:paraId="303BADAD" w14:textId="77777777" w:rsidR="00B060F6" w:rsidRPr="00B060F6" w:rsidRDefault="00B060F6" w:rsidP="00B060F6">
      <w:pPr>
        <w:ind w:left="0"/>
        <w:rPr>
          <w:rFonts w:asciiTheme="minorHAnsi" w:eastAsia="Times New Roman" w:hAnsiTheme="minorHAnsi"/>
          <w:kern w:val="0"/>
          <w:sz w:val="12"/>
          <w:szCs w:val="12"/>
          <w:lang w:eastAsia="en-CA"/>
          <w14:ligatures w14:val="none"/>
        </w:rPr>
      </w:pPr>
    </w:p>
    <w:p w14:paraId="189AE1BD" w14:textId="0B5E003C" w:rsidR="00B060F6" w:rsidRPr="00B060F6" w:rsidRDefault="00B060F6" w:rsidP="00B060F6">
      <w:pPr>
        <w:ind w:left="0"/>
        <w:rPr>
          <w:rFonts w:asciiTheme="minorHAnsi" w:eastAsia="Times New Roman" w:hAnsiTheme="minorHAnsi"/>
          <w:kern w:val="0"/>
          <w:sz w:val="20"/>
          <w:szCs w:val="20"/>
          <w:lang w:eastAsia="en-CA"/>
          <w14:ligatures w14:val="none"/>
        </w:rPr>
      </w:pPr>
      <w:r w:rsidRPr="00B060F6">
        <w:rPr>
          <w:rFonts w:asciiTheme="minorHAnsi" w:eastAsia="Times New Roman" w:hAnsiTheme="minorHAnsi"/>
          <w:kern w:val="0"/>
          <w:sz w:val="20"/>
          <w:szCs w:val="20"/>
          <w:lang w:eastAsia="en-CA"/>
          <w14:ligatures w14:val="none"/>
        </w:rPr>
        <w:t>The University recognizes that applicants may have had obligations outside of work that have negatively impacted their record of achievements (e.g., parental, elder care, and/or medical). You are not required to disclose these obligations in the hiring process. If you choose to do so, the University will ensure that these obligations do not negatively impact the assessment of your qualifications for the position.</w:t>
      </w:r>
    </w:p>
    <w:p w14:paraId="3A999015" w14:textId="77777777" w:rsidR="00B060F6" w:rsidRPr="00B060F6" w:rsidRDefault="00B060F6" w:rsidP="00B060F6">
      <w:pPr>
        <w:ind w:left="0"/>
        <w:rPr>
          <w:rFonts w:asciiTheme="minorHAnsi" w:eastAsia="Times New Roman" w:hAnsiTheme="minorHAnsi"/>
          <w:kern w:val="0"/>
          <w:sz w:val="12"/>
          <w:szCs w:val="12"/>
          <w:lang w:eastAsia="en-CA"/>
          <w14:ligatures w14:val="none"/>
        </w:rPr>
      </w:pPr>
    </w:p>
    <w:p w14:paraId="08D2BDD2" w14:textId="77777777" w:rsidR="00B060F6" w:rsidRPr="00B060F6" w:rsidRDefault="00B060F6" w:rsidP="00B060F6">
      <w:pPr>
        <w:ind w:left="0"/>
        <w:rPr>
          <w:rFonts w:asciiTheme="minorHAnsi" w:eastAsia="Times New Roman" w:hAnsiTheme="minorHAnsi"/>
          <w:kern w:val="0"/>
          <w:sz w:val="20"/>
          <w:szCs w:val="20"/>
          <w:lang w:eastAsia="en-CA"/>
          <w14:ligatures w14:val="none"/>
        </w:rPr>
      </w:pPr>
      <w:r w:rsidRPr="00B060F6">
        <w:rPr>
          <w:rFonts w:asciiTheme="minorHAnsi" w:eastAsia="Times New Roman" w:hAnsiTheme="minorHAnsi"/>
          <w:kern w:val="0"/>
          <w:sz w:val="20"/>
          <w:szCs w:val="20"/>
          <w:lang w:eastAsia="en-CA"/>
          <w14:ligatures w14:val="none"/>
        </w:rPr>
        <w:t>The University of Guelph resides on the ancestral lands of the Attawandaron people and the treaty lands and territory of the Mississaugas of the Credit and we offer our respect to our Anishinaabe, Haudenosaunee and Métis neighbours as we strive to strengthen our relationships with them.</w:t>
      </w:r>
    </w:p>
    <w:p w14:paraId="22FDB102" w14:textId="77777777" w:rsidR="00B060F6" w:rsidRPr="00B060F6" w:rsidRDefault="00B060F6" w:rsidP="00B060F6">
      <w:pPr>
        <w:ind w:left="0"/>
        <w:rPr>
          <w:rFonts w:asciiTheme="minorHAnsi" w:eastAsia="Times New Roman" w:hAnsiTheme="minorHAnsi"/>
          <w:kern w:val="0"/>
          <w:sz w:val="12"/>
          <w:szCs w:val="12"/>
          <w:lang w:eastAsia="en-CA"/>
          <w14:ligatures w14:val="none"/>
        </w:rPr>
      </w:pPr>
    </w:p>
    <w:p w14:paraId="17C8D092" w14:textId="77777777" w:rsidR="00B060F6" w:rsidRPr="00B060F6" w:rsidRDefault="00B060F6" w:rsidP="00B060F6">
      <w:pPr>
        <w:ind w:left="0"/>
        <w:rPr>
          <w:rFonts w:asciiTheme="minorHAnsi" w:eastAsia="Times New Roman" w:hAnsiTheme="minorHAnsi"/>
          <w:kern w:val="0"/>
          <w:sz w:val="20"/>
          <w:szCs w:val="20"/>
          <w:lang w:eastAsia="en-CA"/>
          <w14:ligatures w14:val="none"/>
        </w:rPr>
      </w:pPr>
      <w:r w:rsidRPr="00B060F6">
        <w:rPr>
          <w:rFonts w:asciiTheme="minorHAnsi" w:eastAsia="Times New Roman" w:hAnsiTheme="minorHAnsi"/>
          <w:kern w:val="0"/>
          <w:sz w:val="20"/>
          <w:szCs w:val="20"/>
          <w:lang w:eastAsia="en-CA"/>
          <w14:ligatures w14:val="none"/>
        </w:rPr>
        <w:t xml:space="preserve">At the University of Guelph, fostering a </w:t>
      </w:r>
      <w:hyperlink r:id="rId7" w:history="1">
        <w:r w:rsidRPr="00B060F6">
          <w:rPr>
            <w:rFonts w:asciiTheme="minorHAnsi" w:eastAsia="Times New Roman" w:hAnsiTheme="minorHAnsi"/>
            <w:color w:val="0000FF"/>
            <w:kern w:val="0"/>
            <w:sz w:val="20"/>
            <w:szCs w:val="20"/>
            <w:u w:val="single"/>
            <w:lang w:eastAsia="en-CA"/>
            <w14:ligatures w14:val="none"/>
          </w:rPr>
          <w:t>culture of inclusion</w:t>
        </w:r>
      </w:hyperlink>
      <w:r w:rsidRPr="00B060F6">
        <w:rPr>
          <w:rFonts w:asciiTheme="minorHAnsi" w:eastAsia="Times New Roman" w:hAnsiTheme="minorHAnsi"/>
          <w:kern w:val="0"/>
          <w:sz w:val="20"/>
          <w:szCs w:val="20"/>
          <w:lang w:eastAsia="en-CA"/>
          <w14:ligatures w14:val="none"/>
        </w:rPr>
        <w:t xml:space="preserve">  </w:t>
      </w:r>
      <w:hyperlink r:id="rId8" w:history="1">
        <w:r w:rsidRPr="00B060F6">
          <w:rPr>
            <w:rFonts w:asciiTheme="minorHAnsi" w:eastAsia="Times New Roman" w:hAnsiTheme="minorHAnsi"/>
            <w:color w:val="0000FF"/>
            <w:kern w:val="0"/>
            <w:sz w:val="20"/>
            <w:szCs w:val="20"/>
            <w:u w:val="single"/>
            <w:lang w:eastAsia="en-CA"/>
            <w14:ligatures w14:val="none"/>
          </w:rPr>
          <w:t xml:space="preserve">(https://uoguel.ph/ox2p9) </w:t>
        </w:r>
      </w:hyperlink>
      <w:r w:rsidRPr="00B060F6">
        <w:rPr>
          <w:rFonts w:asciiTheme="minorHAnsi" w:eastAsia="Times New Roman" w:hAnsiTheme="minorHAnsi"/>
          <w:kern w:val="0"/>
          <w:sz w:val="20"/>
          <w:szCs w:val="20"/>
          <w:lang w:eastAsia="en-CA"/>
          <w14:ligatures w14:val="none"/>
        </w:rPr>
        <w:t>is an institutional imperative. The University invites and encourages applications from all qualified individuals, including from groups that are traditionally underrepresented in employment, who may contribute to further diversification of our Institution.</w:t>
      </w:r>
    </w:p>
    <w:p w14:paraId="327680DF" w14:textId="77777777" w:rsidR="00B060F6" w:rsidRPr="00B060F6" w:rsidRDefault="00B060F6" w:rsidP="00B060F6">
      <w:pPr>
        <w:ind w:left="0"/>
        <w:rPr>
          <w:rFonts w:asciiTheme="minorHAnsi" w:eastAsia="Times New Roman" w:hAnsiTheme="minorHAnsi"/>
          <w:kern w:val="0"/>
          <w:sz w:val="12"/>
          <w:szCs w:val="12"/>
          <w:lang w:eastAsia="en-CA"/>
          <w14:ligatures w14:val="none"/>
        </w:rPr>
      </w:pPr>
    </w:p>
    <w:p w14:paraId="0D59A05A" w14:textId="0BD9047E" w:rsidR="00790217" w:rsidRPr="00B060F6" w:rsidRDefault="00B060F6" w:rsidP="00B060F6">
      <w:pPr>
        <w:ind w:left="0"/>
        <w:rPr>
          <w:rFonts w:asciiTheme="minorHAnsi" w:eastAsia="Times New Roman" w:hAnsiTheme="minorHAnsi"/>
          <w:kern w:val="0"/>
          <w:sz w:val="20"/>
          <w:szCs w:val="20"/>
          <w:lang w:eastAsia="en-CA"/>
          <w14:ligatures w14:val="none"/>
        </w:rPr>
      </w:pPr>
      <w:r w:rsidRPr="00B060F6">
        <w:rPr>
          <w:rFonts w:asciiTheme="minorHAnsi" w:eastAsia="Times New Roman" w:hAnsiTheme="minorHAnsi"/>
          <w:kern w:val="0"/>
          <w:sz w:val="20"/>
          <w:szCs w:val="20"/>
          <w:lang w:eastAsia="en-CA"/>
          <w14:ligatures w14:val="none"/>
        </w:rPr>
        <w:t>If you require a medical accommodation during the recruitment or selection process, please contact Occupational Health and Wellness at 519-824-4120 x52674.</w:t>
      </w:r>
    </w:p>
    <w:sectPr w:rsidR="00790217" w:rsidRPr="00B060F6" w:rsidSect="00B060F6">
      <w:pgSz w:w="12240" w:h="15840"/>
      <w:pgMar w:top="397" w:right="1247" w:bottom="39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AD"/>
    <w:multiLevelType w:val="multilevel"/>
    <w:tmpl w:val="CAE40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82520"/>
    <w:multiLevelType w:val="multilevel"/>
    <w:tmpl w:val="F1E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27A72"/>
    <w:multiLevelType w:val="multilevel"/>
    <w:tmpl w:val="5F3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15A44"/>
    <w:multiLevelType w:val="multilevel"/>
    <w:tmpl w:val="3894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C1945"/>
    <w:multiLevelType w:val="multilevel"/>
    <w:tmpl w:val="3852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6198C"/>
    <w:multiLevelType w:val="multilevel"/>
    <w:tmpl w:val="A9D0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655399">
    <w:abstractNumId w:val="4"/>
  </w:num>
  <w:num w:numId="2" w16cid:durableId="2020698349">
    <w:abstractNumId w:val="2"/>
  </w:num>
  <w:num w:numId="3" w16cid:durableId="301694910">
    <w:abstractNumId w:val="1"/>
  </w:num>
  <w:num w:numId="4" w16cid:durableId="183637361">
    <w:abstractNumId w:val="5"/>
  </w:num>
  <w:num w:numId="5" w16cid:durableId="65029638">
    <w:abstractNumId w:val="3"/>
  </w:num>
  <w:num w:numId="6" w16cid:durableId="188582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F6"/>
    <w:rsid w:val="000E4BBD"/>
    <w:rsid w:val="002A0949"/>
    <w:rsid w:val="00790217"/>
    <w:rsid w:val="00847D83"/>
    <w:rsid w:val="00B06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218B"/>
  <w15:chartTrackingRefBased/>
  <w15:docId w15:val="{F11540A1-FB32-4158-929C-C8451AC6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2"/>
        <w:szCs w:val="22"/>
        <w:lang w:val="en-CA"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0F6"/>
    <w:pPr>
      <w:spacing w:before="100" w:beforeAutospacing="1" w:after="100" w:afterAutospacing="1"/>
      <w:ind w:left="0"/>
      <w:outlineLvl w:val="1"/>
    </w:pPr>
    <w:rPr>
      <w:rFonts w:ascii="Times New Roman" w:eastAsia="Times New Roman" w:hAnsi="Times New Roman" w:cs="Times New Roman"/>
      <w:b/>
      <w:bCs/>
      <w:kern w:val="0"/>
      <w:sz w:val="36"/>
      <w:szCs w:val="36"/>
      <w:lang w:eastAsia="en-CA"/>
      <w14:ligatures w14:val="none"/>
    </w:rPr>
  </w:style>
  <w:style w:type="paragraph" w:styleId="Heading3">
    <w:name w:val="heading 3"/>
    <w:basedOn w:val="Normal"/>
    <w:link w:val="Heading3Char"/>
    <w:uiPriority w:val="9"/>
    <w:qFormat/>
    <w:rsid w:val="00B060F6"/>
    <w:pPr>
      <w:spacing w:before="100" w:beforeAutospacing="1" w:after="100" w:afterAutospacing="1"/>
      <w:ind w:left="0"/>
      <w:outlineLvl w:val="2"/>
    </w:pPr>
    <w:rPr>
      <w:rFonts w:ascii="Times New Roman" w:eastAsia="Times New Roman" w:hAnsi="Times New Roman" w:cs="Times New Roman"/>
      <w:b/>
      <w:bCs/>
      <w:kern w:val="0"/>
      <w:sz w:val="27"/>
      <w:szCs w:val="27"/>
      <w:lang w:eastAsia="en-CA"/>
      <w14:ligatures w14:val="none"/>
    </w:rPr>
  </w:style>
  <w:style w:type="paragraph" w:styleId="Heading4">
    <w:name w:val="heading 4"/>
    <w:basedOn w:val="Normal"/>
    <w:link w:val="Heading4Char"/>
    <w:uiPriority w:val="9"/>
    <w:qFormat/>
    <w:rsid w:val="00B060F6"/>
    <w:pPr>
      <w:spacing w:before="100" w:beforeAutospacing="1" w:after="100" w:afterAutospacing="1"/>
      <w:ind w:left="0"/>
      <w:outlineLvl w:val="3"/>
    </w:pPr>
    <w:rPr>
      <w:rFonts w:ascii="Times New Roman" w:eastAsia="Times New Roman" w:hAnsi="Times New Roman" w:cs="Times New Roman"/>
      <w:b/>
      <w:bCs/>
      <w:kern w:val="0"/>
      <w:sz w:val="24"/>
      <w:szCs w:val="24"/>
      <w:lang w:eastAsia="en-CA"/>
      <w14:ligatures w14:val="none"/>
    </w:rPr>
  </w:style>
  <w:style w:type="paragraph" w:styleId="Heading5">
    <w:name w:val="heading 5"/>
    <w:basedOn w:val="Normal"/>
    <w:link w:val="Heading5Char"/>
    <w:uiPriority w:val="9"/>
    <w:qFormat/>
    <w:rsid w:val="00B060F6"/>
    <w:pPr>
      <w:spacing w:before="100" w:beforeAutospacing="1" w:after="100" w:afterAutospacing="1"/>
      <w:ind w:left="0"/>
      <w:outlineLvl w:val="4"/>
    </w:pPr>
    <w:rPr>
      <w:rFonts w:ascii="Times New Roman" w:eastAsia="Times New Roman" w:hAnsi="Times New Roman" w:cs="Times New Roman"/>
      <w:b/>
      <w:bCs/>
      <w:kern w:val="0"/>
      <w:sz w:val="20"/>
      <w:szCs w:val="2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F6"/>
    <w:rPr>
      <w:rFonts w:ascii="Times New Roman" w:eastAsia="Times New Roman" w:hAnsi="Times New Roman" w:cs="Times New Roman"/>
      <w:b/>
      <w:bCs/>
      <w:kern w:val="0"/>
      <w:sz w:val="36"/>
      <w:szCs w:val="36"/>
      <w:lang w:eastAsia="en-CA"/>
      <w14:ligatures w14:val="none"/>
    </w:rPr>
  </w:style>
  <w:style w:type="character" w:customStyle="1" w:styleId="Heading3Char">
    <w:name w:val="Heading 3 Char"/>
    <w:basedOn w:val="DefaultParagraphFont"/>
    <w:link w:val="Heading3"/>
    <w:uiPriority w:val="9"/>
    <w:rsid w:val="00B060F6"/>
    <w:rPr>
      <w:rFonts w:ascii="Times New Roman" w:eastAsia="Times New Roman" w:hAnsi="Times New Roman" w:cs="Times New Roman"/>
      <w:b/>
      <w:bCs/>
      <w:kern w:val="0"/>
      <w:sz w:val="27"/>
      <w:szCs w:val="27"/>
      <w:lang w:eastAsia="en-CA"/>
      <w14:ligatures w14:val="none"/>
    </w:rPr>
  </w:style>
  <w:style w:type="character" w:customStyle="1" w:styleId="Heading4Char">
    <w:name w:val="Heading 4 Char"/>
    <w:basedOn w:val="DefaultParagraphFont"/>
    <w:link w:val="Heading4"/>
    <w:uiPriority w:val="9"/>
    <w:rsid w:val="00B060F6"/>
    <w:rPr>
      <w:rFonts w:ascii="Times New Roman" w:eastAsia="Times New Roman" w:hAnsi="Times New Roman" w:cs="Times New Roman"/>
      <w:b/>
      <w:bCs/>
      <w:kern w:val="0"/>
      <w:sz w:val="24"/>
      <w:szCs w:val="24"/>
      <w:lang w:eastAsia="en-CA"/>
      <w14:ligatures w14:val="none"/>
    </w:rPr>
  </w:style>
  <w:style w:type="character" w:customStyle="1" w:styleId="Heading5Char">
    <w:name w:val="Heading 5 Char"/>
    <w:basedOn w:val="DefaultParagraphFont"/>
    <w:link w:val="Heading5"/>
    <w:uiPriority w:val="9"/>
    <w:rsid w:val="00B060F6"/>
    <w:rPr>
      <w:rFonts w:ascii="Times New Roman" w:eastAsia="Times New Roman" w:hAnsi="Times New Roman" w:cs="Times New Roman"/>
      <w:b/>
      <w:bCs/>
      <w:kern w:val="0"/>
      <w:sz w:val="20"/>
      <w:szCs w:val="20"/>
      <w:lang w:eastAsia="en-CA"/>
      <w14:ligatures w14:val="none"/>
    </w:rPr>
  </w:style>
  <w:style w:type="character" w:styleId="Strong">
    <w:name w:val="Strong"/>
    <w:basedOn w:val="DefaultParagraphFont"/>
    <w:uiPriority w:val="22"/>
    <w:qFormat/>
    <w:rsid w:val="00B060F6"/>
    <w:rPr>
      <w:b/>
      <w:bCs/>
    </w:rPr>
  </w:style>
  <w:style w:type="paragraph" w:styleId="NormalWeb">
    <w:name w:val="Normal (Web)"/>
    <w:basedOn w:val="Normal"/>
    <w:uiPriority w:val="99"/>
    <w:semiHidden/>
    <w:unhideWhenUsed/>
    <w:rsid w:val="00B060F6"/>
    <w:pPr>
      <w:spacing w:before="100" w:beforeAutospacing="1" w:after="100" w:afterAutospacing="1"/>
      <w:ind w:left="0"/>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B060F6"/>
    <w:rPr>
      <w:color w:val="0000FF"/>
      <w:u w:val="single"/>
    </w:rPr>
  </w:style>
  <w:style w:type="character" w:customStyle="1" w:styleId="emailp">
    <w:name w:val="emailp"/>
    <w:basedOn w:val="DefaultParagraphFont"/>
    <w:rsid w:val="00B060F6"/>
  </w:style>
  <w:style w:type="character" w:customStyle="1" w:styleId="pdf">
    <w:name w:val="pdf"/>
    <w:basedOn w:val="DefaultParagraphFont"/>
    <w:rsid w:val="00B0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0417">
      <w:bodyDiv w:val="1"/>
      <w:marLeft w:val="0"/>
      <w:marRight w:val="0"/>
      <w:marTop w:val="0"/>
      <w:marBottom w:val="0"/>
      <w:divBdr>
        <w:top w:val="none" w:sz="0" w:space="0" w:color="auto"/>
        <w:left w:val="none" w:sz="0" w:space="0" w:color="auto"/>
        <w:bottom w:val="none" w:sz="0" w:space="0" w:color="auto"/>
        <w:right w:val="none" w:sz="0" w:space="0" w:color="auto"/>
      </w:divBdr>
    </w:div>
    <w:div w:id="19208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guel.ph/ox2p9" TargetMode="External"/><Relationship Id="rId3" Type="http://schemas.openxmlformats.org/officeDocument/2006/relationships/settings" Target="settings.xml"/><Relationship Id="rId7" Type="http://schemas.openxmlformats.org/officeDocument/2006/relationships/hyperlink" Target="https://www.uoguelph.ca/diversity-human-rights/sites/uoguelph.ca.dhr/files/public/Inclusion%20Framework%20Endorsed%20April%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bchair@uoguelph.ca" TargetMode="External"/><Relationship Id="rId5" Type="http://schemas.openxmlformats.org/officeDocument/2006/relationships/hyperlink" Target="https://www.uoguelph.ca/facultyjobs/postings/ad23-59.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Hatefi</dc:creator>
  <cp:keywords/>
  <dc:description/>
  <cp:lastModifiedBy>Laleh Hatefi</cp:lastModifiedBy>
  <cp:revision>3</cp:revision>
  <dcterms:created xsi:type="dcterms:W3CDTF">2023-11-01T14:17:00Z</dcterms:created>
  <dcterms:modified xsi:type="dcterms:W3CDTF">2023-11-01T14:24:00Z</dcterms:modified>
</cp:coreProperties>
</file>